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D1" w:rsidRDefault="003A58D1" w:rsidP="00FC76B6">
      <w:bookmarkStart w:id="0" w:name="_GoBack"/>
      <w:bookmarkEnd w:id="0"/>
    </w:p>
    <w:p w:rsidR="003A58D1" w:rsidRDefault="003A58D1" w:rsidP="00FC76B6"/>
    <w:p w:rsidR="00F02C62" w:rsidRDefault="00F02C62" w:rsidP="00FC76B6">
      <w:r>
        <w:t>Broj: LUŠKŽ -  3018  - 12/2015</w:t>
      </w:r>
    </w:p>
    <w:p w:rsidR="00F02C62" w:rsidRDefault="00F02C62" w:rsidP="00FC76B6">
      <w:r>
        <w:t>Šibenik, 31. prosinca 2015.g.</w:t>
      </w:r>
    </w:p>
    <w:p w:rsidR="00F02C62" w:rsidRDefault="00F02C62" w:rsidP="00FC76B6"/>
    <w:p w:rsidR="00656CC7" w:rsidRDefault="00656CC7" w:rsidP="00FC76B6">
      <w:r>
        <w:t>Na temelju članka 20. Zakona o javnoj nabavi (narodne novine broj 90/11, 83/13 i 143/13) i članka 33. Statuta Lučke uprave Šibensko-kninske županije, broj: LUŠKŽ – 2673-XII/2008 od 24.12.2008.g. ravnatelj donosi</w:t>
      </w:r>
    </w:p>
    <w:p w:rsidR="00656CC7" w:rsidRDefault="00656CC7" w:rsidP="00FC76B6"/>
    <w:p w:rsidR="00656CC7" w:rsidRPr="00656CC7" w:rsidRDefault="00656CC7" w:rsidP="00FC76B6">
      <w:pPr>
        <w:rPr>
          <w:b/>
        </w:rPr>
      </w:pPr>
      <w:r w:rsidRPr="00656CC7">
        <w:rPr>
          <w:b/>
        </w:rPr>
        <w:t xml:space="preserve">                                                                   IZMJENE I DOPUNE PLANA NABAVE</w:t>
      </w:r>
    </w:p>
    <w:p w:rsidR="00656CC7" w:rsidRPr="00656CC7" w:rsidRDefault="00656CC7" w:rsidP="00FC76B6">
      <w:pPr>
        <w:rPr>
          <w:b/>
        </w:rPr>
      </w:pPr>
      <w:r w:rsidRPr="00656CC7">
        <w:rPr>
          <w:b/>
        </w:rPr>
        <w:t xml:space="preserve">                                                                     roba, radova i usluga za 2015. godinu</w:t>
      </w:r>
    </w:p>
    <w:p w:rsidR="00656CC7" w:rsidRPr="00656CC7" w:rsidRDefault="00656CC7" w:rsidP="00FC76B6">
      <w:pPr>
        <w:rPr>
          <w:b/>
        </w:rPr>
      </w:pPr>
    </w:p>
    <w:p w:rsidR="00371271" w:rsidRDefault="00371271" w:rsidP="00FC76B6">
      <w:r>
        <w:t>U Planu nabave za 2015.godinu od 29. lipnja 2015.g., broj: LUŠKŽ – 1084 – 6 /15 u tabeli plana nabave redni broj 1., 4., 6. i 7. se brišu, dok se točke 2., 5. i 16. mijenjaju i glase:</w:t>
      </w:r>
    </w:p>
    <w:p w:rsidR="00371271" w:rsidRDefault="00371271" w:rsidP="00FC76B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12"/>
        <w:gridCol w:w="2332"/>
        <w:gridCol w:w="2333"/>
      </w:tblGrid>
      <w:tr w:rsidR="00371271" w:rsidTr="00371271">
        <w:tc>
          <w:tcPr>
            <w:tcW w:w="704" w:type="dxa"/>
          </w:tcPr>
          <w:p w:rsidR="007D6D1B" w:rsidRDefault="007D6D1B" w:rsidP="00FC76B6"/>
          <w:p w:rsidR="00371271" w:rsidRDefault="00371271" w:rsidP="00FC76B6">
            <w:r>
              <w:t>Red.br.</w:t>
            </w:r>
          </w:p>
        </w:tc>
        <w:tc>
          <w:tcPr>
            <w:tcW w:w="3544" w:type="dxa"/>
          </w:tcPr>
          <w:p w:rsidR="00371271" w:rsidRDefault="00371271" w:rsidP="00FC76B6"/>
          <w:p w:rsidR="00371271" w:rsidRDefault="00371271" w:rsidP="00FC76B6">
            <w:r>
              <w:t>Predmet nabave</w:t>
            </w:r>
          </w:p>
        </w:tc>
        <w:tc>
          <w:tcPr>
            <w:tcW w:w="2268" w:type="dxa"/>
          </w:tcPr>
          <w:p w:rsidR="00371271" w:rsidRDefault="00371271" w:rsidP="00FC76B6"/>
          <w:p w:rsidR="00371271" w:rsidRDefault="00371271" w:rsidP="00FC76B6">
            <w:r>
              <w:t>Procijenjena vrijednost</w:t>
            </w:r>
          </w:p>
        </w:tc>
        <w:tc>
          <w:tcPr>
            <w:tcW w:w="2812" w:type="dxa"/>
          </w:tcPr>
          <w:p w:rsidR="00371271" w:rsidRDefault="00371271" w:rsidP="00FC76B6"/>
          <w:p w:rsidR="00371271" w:rsidRDefault="00371271" w:rsidP="00FC76B6">
            <w:r>
              <w:t>Vrsta postupka</w:t>
            </w:r>
          </w:p>
        </w:tc>
        <w:tc>
          <w:tcPr>
            <w:tcW w:w="2332" w:type="dxa"/>
          </w:tcPr>
          <w:p w:rsidR="00371271" w:rsidRDefault="00371271" w:rsidP="00FC76B6"/>
          <w:p w:rsidR="00371271" w:rsidRDefault="00371271" w:rsidP="00FC76B6">
            <w:r>
              <w:t>Planirani početak</w:t>
            </w:r>
          </w:p>
        </w:tc>
        <w:tc>
          <w:tcPr>
            <w:tcW w:w="2333" w:type="dxa"/>
          </w:tcPr>
          <w:p w:rsidR="00371271" w:rsidRDefault="00371271" w:rsidP="00FC76B6"/>
          <w:p w:rsidR="00371271" w:rsidRDefault="00371271" w:rsidP="00FC76B6">
            <w:r>
              <w:t xml:space="preserve">Planirano trajanje </w:t>
            </w:r>
          </w:p>
        </w:tc>
      </w:tr>
      <w:tr w:rsidR="00371271" w:rsidTr="00371271">
        <w:tc>
          <w:tcPr>
            <w:tcW w:w="704" w:type="dxa"/>
          </w:tcPr>
          <w:p w:rsidR="007D6D1B" w:rsidRDefault="007D6D1B" w:rsidP="00FC76B6"/>
          <w:p w:rsidR="00371271" w:rsidRDefault="007D6D1B" w:rsidP="00FC76B6">
            <w:r>
              <w:t>2.</w:t>
            </w:r>
          </w:p>
        </w:tc>
        <w:tc>
          <w:tcPr>
            <w:tcW w:w="3544" w:type="dxa"/>
          </w:tcPr>
          <w:p w:rsidR="00371271" w:rsidRDefault="007D6D1B" w:rsidP="00FC76B6">
            <w:r>
              <w:t>II. faza izgradnje obalnog zida u luci Tisno</w:t>
            </w:r>
          </w:p>
        </w:tc>
        <w:tc>
          <w:tcPr>
            <w:tcW w:w="2268" w:type="dxa"/>
          </w:tcPr>
          <w:p w:rsidR="00371271" w:rsidRDefault="00371271" w:rsidP="00FC76B6"/>
          <w:p w:rsidR="007D6D1B" w:rsidRDefault="007D6D1B" w:rsidP="00FC76B6">
            <w:r>
              <w:t>2.700.000,00</w:t>
            </w:r>
          </w:p>
        </w:tc>
        <w:tc>
          <w:tcPr>
            <w:tcW w:w="2812" w:type="dxa"/>
          </w:tcPr>
          <w:p w:rsidR="00371271" w:rsidRDefault="00371271" w:rsidP="00FC76B6"/>
          <w:p w:rsidR="007D6D1B" w:rsidRDefault="007D6D1B" w:rsidP="007D6D1B">
            <w:r>
              <w:t>Otvoreni postupak</w:t>
            </w:r>
          </w:p>
        </w:tc>
        <w:tc>
          <w:tcPr>
            <w:tcW w:w="2332" w:type="dxa"/>
          </w:tcPr>
          <w:p w:rsidR="00371271" w:rsidRDefault="00371271" w:rsidP="00FC76B6"/>
          <w:p w:rsidR="007D6D1B" w:rsidRDefault="007D6D1B" w:rsidP="00FC76B6">
            <w:r>
              <w:t>III. kvartal</w:t>
            </w:r>
          </w:p>
        </w:tc>
        <w:tc>
          <w:tcPr>
            <w:tcW w:w="2333" w:type="dxa"/>
          </w:tcPr>
          <w:p w:rsidR="00371271" w:rsidRDefault="00371271" w:rsidP="00FC76B6"/>
          <w:p w:rsidR="007D6D1B" w:rsidRDefault="007D6D1B" w:rsidP="00FC76B6">
            <w:r>
              <w:t xml:space="preserve">      120 dana</w:t>
            </w:r>
          </w:p>
        </w:tc>
      </w:tr>
      <w:tr w:rsidR="00371271" w:rsidTr="00371271">
        <w:tc>
          <w:tcPr>
            <w:tcW w:w="704" w:type="dxa"/>
          </w:tcPr>
          <w:p w:rsidR="007D6D1B" w:rsidRDefault="007D6D1B" w:rsidP="007D6D1B">
            <w:r>
              <w:t xml:space="preserve">5. </w:t>
            </w:r>
          </w:p>
        </w:tc>
        <w:tc>
          <w:tcPr>
            <w:tcW w:w="3544" w:type="dxa"/>
          </w:tcPr>
          <w:p w:rsidR="00371271" w:rsidRDefault="007D6D1B" w:rsidP="00FC76B6">
            <w:r>
              <w:t>Izgradnja obalnog zida u luci Bilice</w:t>
            </w:r>
          </w:p>
        </w:tc>
        <w:tc>
          <w:tcPr>
            <w:tcW w:w="2268" w:type="dxa"/>
          </w:tcPr>
          <w:p w:rsidR="00371271" w:rsidRDefault="00371271" w:rsidP="00FC76B6"/>
          <w:p w:rsidR="007D6D1B" w:rsidRDefault="007D6D1B" w:rsidP="00FC76B6">
            <w:r>
              <w:t>500.000,00</w:t>
            </w:r>
          </w:p>
        </w:tc>
        <w:tc>
          <w:tcPr>
            <w:tcW w:w="2812" w:type="dxa"/>
          </w:tcPr>
          <w:p w:rsidR="00371271" w:rsidRDefault="00371271" w:rsidP="00FC76B6"/>
          <w:p w:rsidR="007D6D1B" w:rsidRDefault="007D6D1B" w:rsidP="00FC76B6">
            <w:r>
              <w:t>Bagatelna nabava</w:t>
            </w:r>
          </w:p>
        </w:tc>
        <w:tc>
          <w:tcPr>
            <w:tcW w:w="2332" w:type="dxa"/>
          </w:tcPr>
          <w:p w:rsidR="00371271" w:rsidRDefault="00371271" w:rsidP="00FC76B6"/>
          <w:p w:rsidR="007D6D1B" w:rsidRDefault="007D6D1B" w:rsidP="00FC76B6">
            <w:r>
              <w:t>IV. kvartal</w:t>
            </w:r>
          </w:p>
        </w:tc>
        <w:tc>
          <w:tcPr>
            <w:tcW w:w="2333" w:type="dxa"/>
          </w:tcPr>
          <w:p w:rsidR="00371271" w:rsidRDefault="00371271" w:rsidP="00FC76B6"/>
          <w:p w:rsidR="007D6D1B" w:rsidRDefault="007D6D1B" w:rsidP="00FC76B6">
            <w:r>
              <w:t xml:space="preserve">       60 dana</w:t>
            </w:r>
          </w:p>
        </w:tc>
      </w:tr>
      <w:tr w:rsidR="00371271" w:rsidTr="00371271">
        <w:tc>
          <w:tcPr>
            <w:tcW w:w="704" w:type="dxa"/>
          </w:tcPr>
          <w:p w:rsidR="00371271" w:rsidRDefault="00371271" w:rsidP="00FC76B6"/>
          <w:p w:rsidR="007D6D1B" w:rsidRDefault="007D6D1B" w:rsidP="00FC76B6">
            <w:r>
              <w:t>16.</w:t>
            </w:r>
          </w:p>
        </w:tc>
        <w:tc>
          <w:tcPr>
            <w:tcW w:w="3544" w:type="dxa"/>
          </w:tcPr>
          <w:p w:rsidR="007D6D1B" w:rsidRDefault="007D6D1B" w:rsidP="00FC76B6"/>
          <w:p w:rsidR="00371271" w:rsidRDefault="007D6D1B" w:rsidP="00FC76B6">
            <w:r>
              <w:t>Geodetsko katastarske usluge</w:t>
            </w:r>
          </w:p>
        </w:tc>
        <w:tc>
          <w:tcPr>
            <w:tcW w:w="2268" w:type="dxa"/>
          </w:tcPr>
          <w:p w:rsidR="00371271" w:rsidRDefault="00371271" w:rsidP="00FC76B6"/>
          <w:p w:rsidR="007D6D1B" w:rsidRDefault="007D6D1B" w:rsidP="00FC76B6">
            <w:r>
              <w:t>150.000,00</w:t>
            </w:r>
          </w:p>
        </w:tc>
        <w:tc>
          <w:tcPr>
            <w:tcW w:w="2812" w:type="dxa"/>
          </w:tcPr>
          <w:p w:rsidR="00371271" w:rsidRDefault="00371271" w:rsidP="00FC76B6"/>
          <w:p w:rsidR="007D6D1B" w:rsidRDefault="007D6D1B" w:rsidP="00FC76B6">
            <w:r>
              <w:t>Bagatelna nabava</w:t>
            </w:r>
          </w:p>
        </w:tc>
        <w:tc>
          <w:tcPr>
            <w:tcW w:w="2332" w:type="dxa"/>
          </w:tcPr>
          <w:p w:rsidR="00371271" w:rsidRDefault="00371271" w:rsidP="00FC76B6"/>
          <w:p w:rsidR="007D6D1B" w:rsidRDefault="007D6D1B" w:rsidP="007D6D1B">
            <w:r>
              <w:t>IV. kvartal</w:t>
            </w:r>
          </w:p>
        </w:tc>
        <w:tc>
          <w:tcPr>
            <w:tcW w:w="2333" w:type="dxa"/>
          </w:tcPr>
          <w:p w:rsidR="00371271" w:rsidRDefault="00371271" w:rsidP="00FC76B6"/>
          <w:p w:rsidR="007D6D1B" w:rsidRDefault="007D6D1B" w:rsidP="00FC76B6">
            <w:r>
              <w:t xml:space="preserve">       120 dana</w:t>
            </w:r>
          </w:p>
        </w:tc>
      </w:tr>
    </w:tbl>
    <w:p w:rsidR="003A58D1" w:rsidRDefault="003A58D1" w:rsidP="00FC76B6"/>
    <w:p w:rsidR="003A58D1" w:rsidRDefault="007D6D1B" w:rsidP="00FC76B6">
      <w:r>
        <w:t xml:space="preserve">Ove izmjene objaviti će se na web stranicama Lučke uprave Šibensko-kninske županije </w:t>
      </w:r>
      <w:hyperlink r:id="rId8" w:history="1">
        <w:r w:rsidRPr="009B47FE">
          <w:rPr>
            <w:rStyle w:val="Hyperlink"/>
          </w:rPr>
          <w:t>www.luskz.hr</w:t>
        </w:r>
      </w:hyperlink>
      <w:r>
        <w:t>.</w:t>
      </w:r>
    </w:p>
    <w:p w:rsidR="007D6D1B" w:rsidRDefault="007D6D1B" w:rsidP="00FC76B6"/>
    <w:p w:rsidR="003A58D1" w:rsidRDefault="00F02C62" w:rsidP="00FC76B6">
      <w:r>
        <w:t xml:space="preserve">             </w:t>
      </w:r>
      <w:r w:rsidR="007D6D1B">
        <w:t xml:space="preserve">                                                                                                                                                                     Ravnatelj:</w:t>
      </w:r>
    </w:p>
    <w:p w:rsidR="007D6D1B" w:rsidRDefault="007D6D1B" w:rsidP="00FC76B6">
      <w:r>
        <w:t xml:space="preserve">                                                                                                                                                                                  Željko Dulibić, dipl.oec.</w:t>
      </w:r>
    </w:p>
    <w:sectPr w:rsidR="007D6D1B" w:rsidSect="003A58D1">
      <w:headerReference w:type="first" r:id="rId9"/>
      <w:pgSz w:w="16837" w:h="11905" w:orient="landscape"/>
      <w:pgMar w:top="1417" w:right="1417" w:bottom="1417" w:left="1417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1BA" w:rsidRDefault="008171BA" w:rsidP="00932821">
      <w:r>
        <w:separator/>
      </w:r>
    </w:p>
  </w:endnote>
  <w:endnote w:type="continuationSeparator" w:id="0">
    <w:p w:rsidR="008171BA" w:rsidRDefault="008171BA" w:rsidP="0093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1BA" w:rsidRDefault="008171BA" w:rsidP="00932821">
      <w:r>
        <w:separator/>
      </w:r>
    </w:p>
  </w:footnote>
  <w:footnote w:type="continuationSeparator" w:id="0">
    <w:p w:rsidR="008171BA" w:rsidRDefault="008171BA" w:rsidP="00932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70F" w:rsidRPr="000F770F" w:rsidRDefault="000F770F" w:rsidP="000F770F">
    <w:pPr>
      <w:pStyle w:val="Header"/>
      <w:tabs>
        <w:tab w:val="clear" w:pos="9072"/>
        <w:tab w:val="right" w:pos="9071"/>
      </w:tabs>
      <w:ind w:firstLine="1134"/>
      <w:jc w:val="center"/>
      <w:rPr>
        <w:sz w:val="12"/>
        <w:szCs w:val="12"/>
        <w:u w:val="single"/>
      </w:rPr>
    </w:pPr>
    <w:r w:rsidRPr="000F770F">
      <w:rPr>
        <w:noProof/>
        <w:u w:val="single"/>
        <w:lang w:eastAsia="hr-HR"/>
      </w:rPr>
      <w:drawing>
        <wp:anchor distT="0" distB="0" distL="114300" distR="114300" simplePos="0" relativeHeight="251656192" behindDoc="0" locked="0" layoutInCell="1" allowOverlap="1" wp14:anchorId="49471BA5" wp14:editId="47FC609B">
          <wp:simplePos x="0" y="0"/>
          <wp:positionH relativeFrom="column">
            <wp:posOffset>37465</wp:posOffset>
          </wp:positionH>
          <wp:positionV relativeFrom="page">
            <wp:posOffset>296545</wp:posOffset>
          </wp:positionV>
          <wp:extent cx="1661160" cy="1311910"/>
          <wp:effectExtent l="0" t="0" r="0" b="2540"/>
          <wp:wrapSquare wrapText="right"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1311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76B6" w:rsidRDefault="00162AD6" w:rsidP="00FE4CD9">
    <w:pPr>
      <w:pStyle w:val="Header"/>
      <w:tabs>
        <w:tab w:val="clear" w:pos="9072"/>
        <w:tab w:val="right" w:pos="9071"/>
      </w:tabs>
      <w:ind w:hanging="284"/>
      <w:jc w:val="center"/>
      <w:rPr>
        <w:u w:val="single"/>
      </w:rPr>
    </w:pPr>
    <w:r w:rsidRPr="000F770F">
      <w:rPr>
        <w:u w:val="single"/>
      </w:rPr>
      <w:t>L U Č K A   U P R A V A</w:t>
    </w:r>
  </w:p>
  <w:p w:rsidR="00162AD6" w:rsidRPr="000F770F" w:rsidRDefault="00162AD6" w:rsidP="00FE4CD9">
    <w:pPr>
      <w:pStyle w:val="Header"/>
      <w:tabs>
        <w:tab w:val="clear" w:pos="9072"/>
        <w:tab w:val="right" w:pos="9071"/>
      </w:tabs>
      <w:ind w:hanging="284"/>
      <w:jc w:val="center"/>
      <w:rPr>
        <w:u w:val="single"/>
      </w:rPr>
    </w:pPr>
    <w:r w:rsidRPr="000F770F">
      <w:rPr>
        <w:u w:val="single"/>
      </w:rPr>
      <w:t>Š I B E N S K O - K N I N S K E   Ž U P A N I J E</w:t>
    </w:r>
  </w:p>
  <w:p w:rsidR="00FC76B6" w:rsidRDefault="00162AD6" w:rsidP="00FE4CD9">
    <w:pPr>
      <w:pStyle w:val="Header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>Drag</w:t>
    </w:r>
    <w:r w:rsidR="00FC76B6">
      <w:rPr>
        <w:sz w:val="22"/>
        <w:szCs w:val="20"/>
      </w:rPr>
      <w:t>a 14, 22000 Šibenik, Hrvatska</w:t>
    </w:r>
  </w:p>
  <w:p w:rsidR="00162AD6" w:rsidRPr="000F770F" w:rsidRDefault="00162AD6" w:rsidP="00FE4CD9">
    <w:pPr>
      <w:pStyle w:val="Header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>Tel: +385 22 219852; Fax: +385 22 219863</w:t>
    </w:r>
  </w:p>
  <w:p w:rsidR="00FC76B6" w:rsidRDefault="00162AD6" w:rsidP="00FE4CD9">
    <w:pPr>
      <w:pStyle w:val="Header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 xml:space="preserve">www.luskz.hr; e-mail: </w:t>
    </w:r>
    <w:r w:rsidR="00FC76B6" w:rsidRPr="00FC76B6">
      <w:rPr>
        <w:sz w:val="22"/>
        <w:szCs w:val="20"/>
      </w:rPr>
      <w:t>info@luskz.hr</w:t>
    </w:r>
  </w:p>
  <w:p w:rsidR="00162AD6" w:rsidRPr="000F770F" w:rsidRDefault="00162AD6" w:rsidP="00FE4CD9">
    <w:pPr>
      <w:pStyle w:val="Header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>MB: 1322842; OIB: 16023498983</w:t>
    </w:r>
  </w:p>
  <w:p w:rsidR="00162AD6" w:rsidRDefault="00BB48D4">
    <w:pPr>
      <w:pStyle w:val="Header"/>
    </w:pPr>
    <w:r>
      <w:rPr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3AC302" wp14:editId="0D5823A2">
              <wp:simplePos x="0" y="0"/>
              <wp:positionH relativeFrom="column">
                <wp:posOffset>-259715</wp:posOffset>
              </wp:positionH>
              <wp:positionV relativeFrom="paragraph">
                <wp:posOffset>288925</wp:posOffset>
              </wp:positionV>
              <wp:extent cx="6271260" cy="0"/>
              <wp:effectExtent l="0" t="0" r="1524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1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72CBB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5pt,22.75pt" to="473.3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CE2D68"/>
    <w:multiLevelType w:val="hybridMultilevel"/>
    <w:tmpl w:val="926CB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75CDD"/>
    <w:multiLevelType w:val="hybridMultilevel"/>
    <w:tmpl w:val="0E8446DE"/>
    <w:lvl w:ilvl="0" w:tplc="C1EE74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5998"/>
    <w:multiLevelType w:val="hybridMultilevel"/>
    <w:tmpl w:val="EC204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9329C"/>
    <w:multiLevelType w:val="hybridMultilevel"/>
    <w:tmpl w:val="85CA3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E3"/>
    <w:rsid w:val="00070BC2"/>
    <w:rsid w:val="000731D2"/>
    <w:rsid w:val="000A7058"/>
    <w:rsid w:val="000B3FAA"/>
    <w:rsid w:val="000C38BF"/>
    <w:rsid w:val="000D46AB"/>
    <w:rsid w:val="000F770F"/>
    <w:rsid w:val="001263E3"/>
    <w:rsid w:val="00141036"/>
    <w:rsid w:val="00141D24"/>
    <w:rsid w:val="00146DBB"/>
    <w:rsid w:val="00162AD6"/>
    <w:rsid w:val="001E0C2C"/>
    <w:rsid w:val="00230C24"/>
    <w:rsid w:val="0023429C"/>
    <w:rsid w:val="00260785"/>
    <w:rsid w:val="003071BC"/>
    <w:rsid w:val="00371271"/>
    <w:rsid w:val="003864E3"/>
    <w:rsid w:val="003A58D1"/>
    <w:rsid w:val="003F5671"/>
    <w:rsid w:val="00430984"/>
    <w:rsid w:val="004742A8"/>
    <w:rsid w:val="00487CA0"/>
    <w:rsid w:val="004C2B90"/>
    <w:rsid w:val="004F5461"/>
    <w:rsid w:val="00543956"/>
    <w:rsid w:val="0059107B"/>
    <w:rsid w:val="005A28F0"/>
    <w:rsid w:val="005E7898"/>
    <w:rsid w:val="0063613E"/>
    <w:rsid w:val="00650BD6"/>
    <w:rsid w:val="00656CC7"/>
    <w:rsid w:val="006655D5"/>
    <w:rsid w:val="00686E93"/>
    <w:rsid w:val="0069233B"/>
    <w:rsid w:val="00693435"/>
    <w:rsid w:val="006A4F87"/>
    <w:rsid w:val="0070649C"/>
    <w:rsid w:val="00722749"/>
    <w:rsid w:val="007401F5"/>
    <w:rsid w:val="007523C4"/>
    <w:rsid w:val="007D6D1B"/>
    <w:rsid w:val="008171BA"/>
    <w:rsid w:val="00844D52"/>
    <w:rsid w:val="008739CC"/>
    <w:rsid w:val="00903F7F"/>
    <w:rsid w:val="00927FBE"/>
    <w:rsid w:val="00932821"/>
    <w:rsid w:val="00934178"/>
    <w:rsid w:val="00966FA7"/>
    <w:rsid w:val="009F0049"/>
    <w:rsid w:val="00A93236"/>
    <w:rsid w:val="00AB0CD5"/>
    <w:rsid w:val="00AC6B29"/>
    <w:rsid w:val="00B718E0"/>
    <w:rsid w:val="00BA4CAB"/>
    <w:rsid w:val="00BB0B54"/>
    <w:rsid w:val="00BB48D4"/>
    <w:rsid w:val="00BD2103"/>
    <w:rsid w:val="00C361B9"/>
    <w:rsid w:val="00C723FE"/>
    <w:rsid w:val="00CA7FFA"/>
    <w:rsid w:val="00CE4DC3"/>
    <w:rsid w:val="00D20A0D"/>
    <w:rsid w:val="00D3760B"/>
    <w:rsid w:val="00D846E5"/>
    <w:rsid w:val="00DE0D45"/>
    <w:rsid w:val="00E900E3"/>
    <w:rsid w:val="00F02C62"/>
    <w:rsid w:val="00F872F8"/>
    <w:rsid w:val="00FB53FD"/>
    <w:rsid w:val="00FC76B6"/>
    <w:rsid w:val="00FD4E4D"/>
    <w:rsid w:val="00FE2D76"/>
    <w:rsid w:val="00FE3B35"/>
    <w:rsid w:val="00F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2F64F4-A3B4-4EB8-A17B-78FB982F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13E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3613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3613E"/>
    <w:rPr>
      <w:rFonts w:ascii="Courier New" w:hAnsi="Courier New" w:cs="Courier New"/>
    </w:rPr>
  </w:style>
  <w:style w:type="character" w:customStyle="1" w:styleId="WW8Num1z2">
    <w:name w:val="WW8Num1z2"/>
    <w:rsid w:val="0063613E"/>
    <w:rPr>
      <w:rFonts w:ascii="Wingdings" w:hAnsi="Wingdings"/>
    </w:rPr>
  </w:style>
  <w:style w:type="character" w:customStyle="1" w:styleId="WW8Num1z3">
    <w:name w:val="WW8Num1z3"/>
    <w:rsid w:val="0063613E"/>
    <w:rPr>
      <w:rFonts w:ascii="Symbol" w:hAnsi="Symbol"/>
    </w:rPr>
  </w:style>
  <w:style w:type="character" w:customStyle="1" w:styleId="WW8Num2z0">
    <w:name w:val="WW8Num2z0"/>
    <w:rsid w:val="006361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3613E"/>
    <w:rPr>
      <w:rFonts w:ascii="Courier New" w:hAnsi="Courier New" w:cs="Courier New"/>
    </w:rPr>
  </w:style>
  <w:style w:type="character" w:customStyle="1" w:styleId="WW8Num2z2">
    <w:name w:val="WW8Num2z2"/>
    <w:rsid w:val="0063613E"/>
    <w:rPr>
      <w:rFonts w:ascii="Wingdings" w:hAnsi="Wingdings"/>
    </w:rPr>
  </w:style>
  <w:style w:type="character" w:customStyle="1" w:styleId="WW8Num2z3">
    <w:name w:val="WW8Num2z3"/>
    <w:rsid w:val="0063613E"/>
    <w:rPr>
      <w:rFonts w:ascii="Symbol" w:hAnsi="Symbol"/>
    </w:rPr>
  </w:style>
  <w:style w:type="character" w:customStyle="1" w:styleId="Zadanifontodlomka1">
    <w:name w:val="Zadani font odlomka1"/>
    <w:rsid w:val="0063613E"/>
  </w:style>
  <w:style w:type="paragraph" w:customStyle="1" w:styleId="Naslov1">
    <w:name w:val="Naslov1"/>
    <w:basedOn w:val="Normal"/>
    <w:next w:val="BodyText"/>
    <w:rsid w:val="006361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63613E"/>
    <w:pPr>
      <w:spacing w:after="120"/>
    </w:pPr>
  </w:style>
  <w:style w:type="paragraph" w:styleId="List">
    <w:name w:val="List"/>
    <w:basedOn w:val="BodyText"/>
    <w:rsid w:val="0063613E"/>
    <w:rPr>
      <w:rFonts w:cs="Tahoma"/>
    </w:rPr>
  </w:style>
  <w:style w:type="paragraph" w:customStyle="1" w:styleId="Opis">
    <w:name w:val="Opis"/>
    <w:basedOn w:val="Normal"/>
    <w:rsid w:val="0063613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3613E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9328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82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9328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32821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93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821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rsid w:val="00BB0B54"/>
    <w:rPr>
      <w:color w:val="0000FF" w:themeColor="hyperlink"/>
      <w:u w:val="single"/>
    </w:rPr>
  </w:style>
  <w:style w:type="table" w:styleId="TableGrid">
    <w:name w:val="Table Grid"/>
    <w:basedOn w:val="TableNormal"/>
    <w:rsid w:val="0037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sk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0A0FB-11FC-4F5C-A7D0-BC716EB0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LUČKA UPRAVA ŠIBENSKO-KNINSKE ŽUPANIJE, Draga 14, 22000 Šibenik, ( u daljnjem tekstu: Naručitelj), M</vt:lpstr>
      <vt:lpstr>LUČKA UPRAVA ŠIBENSKO-KNINSKE ŽUPANIJE, Draga 14, 22000 Šibenik, ( u daljnjem tekstu: Naručitelj), M</vt:lpstr>
    </vt:vector>
  </TitlesOfParts>
  <Company>Šibenik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LUČKA UPRAVA ŠIBENSKO-KNINSKE ŽUPANIJE, Draga 14, 22000 Šibenik, ( u daljnjem tekstu: Naručitelj), M</dc:title>
  <dc:creator>z</dc:creator>
  <cp:lastModifiedBy>Ivan</cp:lastModifiedBy>
  <cp:revision>2</cp:revision>
  <cp:lastPrinted>2016-01-29T08:25:00Z</cp:lastPrinted>
  <dcterms:created xsi:type="dcterms:W3CDTF">2016-02-05T11:03:00Z</dcterms:created>
  <dcterms:modified xsi:type="dcterms:W3CDTF">2016-02-05T11:03:00Z</dcterms:modified>
</cp:coreProperties>
</file>